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35C99">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lang w:val="en-US" w:eastAsia="zh-CN"/>
        </w:rPr>
      </w:pPr>
    </w:p>
    <w:p w14:paraId="47EBFCB8">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关于开展2026年度湖南省高校</w:t>
      </w:r>
    </w:p>
    <w:p w14:paraId="004A1E7D">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思想政治工作优秀案例征集与宣传活动的通知</w:t>
      </w:r>
    </w:p>
    <w:p w14:paraId="33495AE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p>
    <w:p w14:paraId="1F98346A">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学校各二级单位：</w:t>
      </w:r>
    </w:p>
    <w:p w14:paraId="249114F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深入学习贯彻习近平新时代中国特色社会主义思想，全面落实党的二十大和二十届历次全会精神，落实中共湖南省委教育工委相关文件要求，更好地发挥优秀案例示范引领作用，切实推动学校思想政治工作高质量发展，现决定面向全校开展2026年度思想政治工作优秀案例征集与宣传活动。有关事项通知如下。</w:t>
      </w:r>
    </w:p>
    <w:p w14:paraId="1278D4E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一、申报内容</w:t>
      </w:r>
    </w:p>
    <w:p w14:paraId="4E5628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2026年度高校思想政治工作优秀案例设置以下9个类别，申报者可聚焦一个类别中的某方面进行申报。</w:t>
      </w:r>
    </w:p>
    <w:p w14:paraId="3599EA7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1.课程讲义。</w:t>
      </w:r>
      <w:r>
        <w:rPr>
          <w:rFonts w:hint="eastAsia" w:ascii="仿宋" w:hAnsi="仿宋" w:eastAsia="仿宋" w:cs="仿宋"/>
          <w:sz w:val="32"/>
          <w:szCs w:val="32"/>
          <w:lang w:val="en-US" w:eastAsia="zh-CN"/>
        </w:rPr>
        <w:t>对照《习近平新时代中国特色社会主义思想概论》统编教材章节、重点难点，精心设计阐释精准、说理透彻、逻辑严密、鲜活生动、具有教学适用性的专题式讲义。讲义要突出问题导向和实践导向，回应学生关切和社会热点，注重运用典型案例、改革实践、发展成就等，讲清楚道理学理哲理，教学效果好，可示范推广。讲义文本包括教学目标、知识图谱、重难点、课堂设计、教学案例等内容。</w:t>
      </w:r>
    </w:p>
    <w:p w14:paraId="45A0CC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2.理论武装。</w:t>
      </w:r>
      <w:r>
        <w:rPr>
          <w:rFonts w:hint="eastAsia" w:ascii="仿宋" w:hAnsi="仿宋" w:eastAsia="仿宋" w:cs="仿宋"/>
          <w:sz w:val="32"/>
          <w:szCs w:val="32"/>
          <w:lang w:val="en-US" w:eastAsia="zh-CN"/>
        </w:rPr>
        <w:t>深化思政课程和课程思政建设，聚焦思政课程中的重点难点问题开展攻关和创新，推动新时代伟大变革融入思政课，健全“大思政课”工作体系，开展“场馆里的思政课、行走的思政课”等特色课程，打造具有湖南特色、学校特点的思政课程。深入开展“党的创新理论铸魂育人” 主题理论宣传活动，扎实开展党的创新理论思想宣传普及，深化“习近平总书记与大学生在一起”学习分享、中国共产党人精神谱系宣传教育，建立领导干部上讲台长效机制，推动先进人物进高校集中示范宣讲，加强师生宣讲团建设，探索师生理论武装常态化、分众化机制。</w:t>
      </w:r>
    </w:p>
    <w:p w14:paraId="669BDC9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3.文化育人。</w:t>
      </w:r>
      <w:r>
        <w:rPr>
          <w:rFonts w:hint="eastAsia" w:ascii="仿宋" w:hAnsi="仿宋" w:eastAsia="仿宋" w:cs="仿宋"/>
          <w:sz w:val="32"/>
          <w:szCs w:val="32"/>
          <w:lang w:val="en-US" w:eastAsia="zh-CN"/>
        </w:rPr>
        <w:t>立足湖南和高校文化资源优势，创新育人载体和途径，将优秀传统文化、红色资源转化为育人场景，加强中华优秀传统文化、湖湘文化教育。深入开展社会主义核心价值观宣传教育，推进“一校一品”校园文化品牌建设，建立以开学、毕业典礼为核心的高校仪式教育体系，推动典礼育人，加强诚信教育、廉洁教育，开展形式多样、健康向上、格调高雅的校园文化活动，创作优质校园文化产品，打造校园文化特色资源库，深化“书香校园”建设。探索文化和科技深度融合改革下的文化育人实践。</w:t>
      </w:r>
    </w:p>
    <w:p w14:paraId="75135CB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4.实践育人。</w:t>
      </w:r>
      <w:r>
        <w:rPr>
          <w:rFonts w:hint="eastAsia" w:ascii="仿宋" w:hAnsi="仿宋" w:eastAsia="仿宋" w:cs="仿宋"/>
          <w:sz w:val="32"/>
          <w:szCs w:val="32"/>
          <w:lang w:val="en-US" w:eastAsia="zh-CN"/>
        </w:rPr>
        <w:t>创新开展思政课教学实践、劳动实践、社会实践、实习实训等，推动思政小课堂和社会大课堂有效融合、师生共同参与，构建师生同学同研同讲同行实践育人新范式。扎实开展社会实践专门课程建设。充分挖掘和运用爱国主义教育基地、国防教育基地和新时代军史场馆、文博场馆、大国重器、基层一线等育人场景，高质量建设实践育人基地，建设校馆合力育人共同体。推动思政教育、专业教育和创新创业教育深度融合。加强大学生实践团队和实践品牌建设。</w:t>
      </w:r>
    </w:p>
    <w:p w14:paraId="666D8C5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5.网络育人。</w:t>
      </w:r>
      <w:r>
        <w:rPr>
          <w:rFonts w:hint="eastAsia" w:ascii="仿宋" w:hAnsi="仿宋" w:eastAsia="仿宋" w:cs="仿宋"/>
          <w:sz w:val="32"/>
          <w:szCs w:val="32"/>
          <w:lang w:val="en-US" w:eastAsia="zh-CN"/>
        </w:rPr>
        <w:t>加强网络思政教育矩阵建设，打造师生黏合度高、覆盖面广、社会影响较大的网络平台，积极参与和推动高校思想政治工作网、易班网和中国大学生在线全国共建。打造网络思想政治教育特色品牌，培育网络育人“名师名站”“名栏名作”，加强短视频、微短剧等形式运用。开展育人导向鲜明、运行模式健全、传播效果良好的网络文化活动。加强大学生网络素养教育。推动优秀原创网络作品纳入教师工作量、代表性成果认定和学生综合素质测评。</w:t>
      </w:r>
    </w:p>
    <w:p w14:paraId="7CAE483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6.心理育人。</w:t>
      </w:r>
      <w:r>
        <w:rPr>
          <w:rFonts w:hint="eastAsia" w:ascii="仿宋" w:hAnsi="仿宋" w:eastAsia="仿宋" w:cs="仿宋"/>
          <w:sz w:val="32"/>
          <w:szCs w:val="32"/>
          <w:lang w:val="en-US" w:eastAsia="zh-CN"/>
        </w:rPr>
        <w:t>全面落实《湖南省促进学生心理健康条例》，在培育学生积极心理品质、构建全员育心工作体系、五育并举促进心理健康等方面取得突破。高质量建设心理健康教育必修选修课程，高水平开展心理健康教育宣传教育活动，构建完善的心理健康服务体系、综合感知系统，有效开展心理健康教育意识和能力培训。落实“五早”预警机制，健全心理健康监测网络，有力开展校家医社协同。运用大数据、人工智能等新技术赋能心理健康工作。大学生心理问题咨询和危机干预工作案例，聚焦家庭问题、心理与精神疾病、学业困扰、生涯发展、人际关系、情感问题等在日常心理咨询与危机干预中出现频率较高的突出问题，在保护隐私的基础上梳理凝练技术、疗法、模式、机制等。</w:t>
      </w:r>
    </w:p>
    <w:p w14:paraId="51EFC05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7.大中小学思想政治教育一体化建设。</w:t>
      </w:r>
      <w:r>
        <w:rPr>
          <w:rFonts w:hint="eastAsia" w:ascii="仿宋" w:hAnsi="仿宋" w:eastAsia="仿宋" w:cs="仿宋"/>
          <w:sz w:val="32"/>
          <w:szCs w:val="32"/>
          <w:lang w:val="en-US" w:eastAsia="zh-CN"/>
        </w:rPr>
        <w:t>立足培养时代新人，发挥高校示范牵引作用，围绕场域、载体、队伍一体化形成实践场景，有序推动师资、课程、场馆等育人资源向中小学开放，完善党、团、队一体化育人链条，总结凝练工作机制、育人主体、建设内容、覆盖范围和显著成效。加强思政课一体化建设，常态化开展相邻学段听课、备课、教研。</w:t>
      </w:r>
    </w:p>
    <w:p w14:paraId="5BA43C2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8.队伍建设。</w:t>
      </w:r>
      <w:r>
        <w:rPr>
          <w:rFonts w:hint="eastAsia" w:ascii="仿宋" w:hAnsi="仿宋" w:eastAsia="仿宋" w:cs="仿宋"/>
          <w:sz w:val="32"/>
          <w:szCs w:val="32"/>
          <w:lang w:val="en-US" w:eastAsia="zh-CN"/>
        </w:rPr>
        <w:t>制定高校立德树人职责清单、考核清单，强化各类育人主体立德树人责任和意识。构建高质量研究生导学思政体系，全面落实导师第一责任人要求，完善选聘、培训、管理、考核、退出办法和导学关系问题解决机制，优化与招生、评优、绩效挂钩的评价指标，健全导师和辅导员协同育人机制。制定高校班主任选拔任用标准，强化班主任育人导向，将育人作用发挥纳入考核评价指标体系，引导班主任将学生思想引领与学业发展、职业生涯规划、班风学风建设相结合。建立完善高校思想政治工作队伍准入退出机制。以教学实效为核心导向优化思政课教师评价体系。加强辅导员、心理健康教育教师队伍培训、考核、职称评聘和晋升等方面的先进经验。</w:t>
      </w:r>
    </w:p>
    <w:p w14:paraId="4D24AB8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9.力量集成。</w:t>
      </w:r>
      <w:r>
        <w:rPr>
          <w:rFonts w:hint="eastAsia" w:ascii="仿宋" w:hAnsi="仿宋" w:eastAsia="仿宋" w:cs="仿宋"/>
          <w:sz w:val="32"/>
          <w:szCs w:val="32"/>
          <w:lang w:val="en-US" w:eastAsia="zh-CN"/>
        </w:rPr>
        <w:t>推进多元育人主体共同参与、多方育人资源系统集成、多维育人载体有机融合的育人共同体建设。高质量建设高校“一站式”学生社区，完善学业辅导、情感疏导、困难帮扶机制，健全育人力量常态化下沉保障和评价机制。发挥群团组织的思想政治工作优势。抵御和防范宗教向高校渗透。构建全覆盖、高质量、有特色的高等学校安全教育体系，办好国家安全教育公共基础课，精心打造安全教育实践品牌。在防范电信诈骗、校园交通治理、矛盾纠纷调处、突发事件应急处置、校警联动机制等重难点问题上形成行之有效的特色做法和长效机制。积极稳妥推进人工智能赋能思想政治教育，创新打造“AI+思政”智慧系统、典型应用和协同平台，开发高校思想政治教育大模型、核心语料库，建设高校思政智能体，建立大学生数智档案等。</w:t>
      </w:r>
    </w:p>
    <w:p w14:paraId="55D2753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二、案例要求</w:t>
      </w:r>
    </w:p>
    <w:p w14:paraId="2275EAB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1.主题鲜明，创新性强。</w:t>
      </w:r>
      <w:r>
        <w:rPr>
          <w:rFonts w:hint="eastAsia" w:ascii="仿宋" w:hAnsi="仿宋" w:eastAsia="仿宋" w:cs="仿宋"/>
          <w:sz w:val="32"/>
          <w:szCs w:val="32"/>
          <w:lang w:val="en-US" w:eastAsia="zh-CN"/>
        </w:rPr>
        <w:t>聚焦立德树人根本任务，贴近大学生实际需求，体现时代感，回应并解决当前学校思想政治工作重点、难点、堵点和热点问题，特别是瓶颈问题。围绕前述9个类别中的某个方面，在推动思想政治工作内容优化、形式载体和方法创新、评价改革等方面进行深入实践，展开创新探索，形成好做法好经验，具有代表性、典型性和导向性。</w:t>
      </w:r>
    </w:p>
    <w:p w14:paraId="4A7465E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2.生动鲜活、真实原创。</w:t>
      </w:r>
      <w:r>
        <w:rPr>
          <w:rFonts w:hint="eastAsia" w:ascii="仿宋" w:hAnsi="仿宋" w:eastAsia="仿宋" w:cs="仿宋"/>
          <w:sz w:val="32"/>
          <w:szCs w:val="32"/>
          <w:lang w:val="en-US" w:eastAsia="zh-CN"/>
        </w:rPr>
        <w:t>案例宜小不宜大，聚焦学校思想政治工作中某项任务、某个重难点、某个环节、某一场景等展开实践探索，具有现实针对性。所列举的示例、数据、资料需真实可靠，具有原创性，杜绝抄袭（案例申报引入项目申报查重机制，申报人必须恪守职业规范和学术道德，坚决杜绝抄袭、剽窃他人成果或伪造、篡改工作研究数据、研究结论等行为）。不得以一般性工作总结、教学成果奖申报材料、思想政治工作精品项目申报材料或是研究课题申报书等申报优秀案例。</w:t>
      </w:r>
    </w:p>
    <w:p w14:paraId="3AAAC07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3.基础扎实、示范带动。</w:t>
      </w:r>
      <w:r>
        <w:rPr>
          <w:rFonts w:hint="eastAsia" w:ascii="仿宋" w:hAnsi="仿宋" w:eastAsia="仿宋" w:cs="仿宋"/>
          <w:sz w:val="32"/>
          <w:szCs w:val="32"/>
          <w:lang w:val="en-US" w:eastAsia="zh-CN"/>
        </w:rPr>
        <w:t>具有形成较好工作基础，实践效果好，师生认可度高，在本工作领域产生一定影响，具有示范意义及推广价值。案例必须在学校层面、校际之间有实际的交流，并附有相关宣传报道等佐证材料。</w:t>
      </w:r>
    </w:p>
    <w:p w14:paraId="46D8768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4.结构完整、形式规范。</w:t>
      </w:r>
      <w:r>
        <w:rPr>
          <w:rFonts w:hint="eastAsia" w:ascii="仿宋" w:hAnsi="仿宋" w:eastAsia="仿宋" w:cs="仿宋"/>
          <w:sz w:val="32"/>
          <w:szCs w:val="32"/>
          <w:lang w:val="en-US" w:eastAsia="zh-CN"/>
        </w:rPr>
        <w:t>课程讲义案例应包括名称、简介、正文、成效启示等。其他类案例应包括名称、简介、主要做法和特色、成果成效、经验启示等，需有相关数据作为支撑，附3-5张图片。为便于案例宣传，鼓励报送包括但不限于微动画、微课、微纪录、微电影、音乐 MV、情景短剧等（具体要求见附件1）。</w:t>
      </w:r>
    </w:p>
    <w:p w14:paraId="1D6B320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三、报送要求</w:t>
      </w:r>
    </w:p>
    <w:p w14:paraId="1DB49B7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1.本次优秀案例的征集采取个人申报，报送数量不限额，不限报送人员身份，各二级单位要积极鼓励一线思想政治工作者申报鲜活优秀案例。每人牵头申报数量不得超过1个。</w:t>
      </w:r>
    </w:p>
    <w:p w14:paraId="6388FC3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2.全年分两批次申报，于6月12日、10月9日前两个时间段报送案例。宣传统战部组织思政专家统一进行遴选评审，择优推荐至省委教育工委参与省级评选。</w:t>
      </w:r>
    </w:p>
    <w:p w14:paraId="753B753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3.报送材料包括：申报书（见附件2）一式5份、附件支撑材料1份一并报送至宣传统战部（望岳楼1411）。电子版发送至邮箱281419885@qq.com，邮件主题命名：申报人+案例类别+优秀案例申报材料。</w:t>
      </w:r>
    </w:p>
    <w:p w14:paraId="79DA85B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4.涉及意识形态、统战工作、国家安全教育等内容无法脱敏的案例，请直接报送纸质档至宣传统战部宋程老师处，无需再提交电子档。</w:t>
      </w:r>
    </w:p>
    <w:p w14:paraId="30A1C2E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四、成果运用</w:t>
      </w:r>
    </w:p>
    <w:p w14:paraId="67A092D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1.入选校级优秀案例的作品将颁发优秀案例证书并发放奖金。</w:t>
      </w:r>
    </w:p>
    <w:p w14:paraId="1B91782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2.学校将联动校内外多平台对优秀案例进行宣传推介，进一步挖掘典型案例中的人物故事、经验做法等，进行宣传报道和集中展示。</w:t>
      </w:r>
    </w:p>
    <w:p w14:paraId="41AE783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五、补充说明</w:t>
      </w:r>
    </w:p>
    <w:p w14:paraId="269C20E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入选优秀案例可作为省委教育工委、省教育厅立项的高校思想政治工作项目结项标志性成果；自2026年开始，申报省委教育工委、省教育厅高校优秀思想政治工作者、高校思想政治工作精品项目、高校思想政治工作研究项目、思政课教学研究和教学改革研究项目、辅导员综合发展工作室及辅导员年度人物等项目，已入选优秀案例且与主题耦合性强的项目将作为重要衡量指标，在同等条件下予以优先考虑。申报教育部高校思想政治工作质量提升综合改革与精品建设项目，原则上相关项目应有入选优秀案例作为支撑。</w:t>
      </w:r>
    </w:p>
    <w:p w14:paraId="4919251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其他未尽事宜，请联系宣传统战部宋程老师（18867270825）。</w:t>
      </w:r>
    </w:p>
    <w:p w14:paraId="4D583D5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p>
    <w:p w14:paraId="7776CE3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附件1：湖南省2026年度高校思想政治工作优秀案例撰写说明</w:t>
      </w:r>
    </w:p>
    <w:p w14:paraId="5E9DCB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附件2：</w:t>
      </w:r>
      <w:r>
        <w:rPr>
          <w:rFonts w:hint="eastAsia" w:ascii="仿宋" w:hAnsi="仿宋" w:eastAsia="仿宋" w:cs="仿宋"/>
          <w:sz w:val="32"/>
          <w:szCs w:val="32"/>
        </w:rPr>
        <w:t>2026年度湖南省高校思想政治工作优秀案例申 报书</w:t>
      </w:r>
    </w:p>
    <w:p w14:paraId="5D928DD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p>
    <w:p w14:paraId="6A8E0E99">
      <w:pPr>
        <w:keepNext w:val="0"/>
        <w:keepLines w:val="0"/>
        <w:pageBreakBefore w:val="0"/>
        <w:widowControl w:val="0"/>
        <w:kinsoku/>
        <w:wordWrap/>
        <w:overflowPunct/>
        <w:topLinePunct w:val="0"/>
        <w:autoSpaceDE/>
        <w:autoSpaceDN/>
        <w:bidi w:val="0"/>
        <w:adjustRightInd/>
        <w:snapToGrid/>
        <w:spacing w:line="576" w:lineRule="exact"/>
        <w:ind w:firstLine="3200" w:firstLineChars="10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中共张家界学院委员会宣传统战部</w:t>
      </w:r>
    </w:p>
    <w:p w14:paraId="390F3B40">
      <w:pPr>
        <w:keepNext w:val="0"/>
        <w:keepLines w:val="0"/>
        <w:pageBreakBefore w:val="0"/>
        <w:widowControl w:val="0"/>
        <w:kinsoku/>
        <w:wordWrap/>
        <w:overflowPunct/>
        <w:topLinePunct w:val="0"/>
        <w:autoSpaceDE/>
        <w:autoSpaceDN/>
        <w:bidi w:val="0"/>
        <w:adjustRightInd/>
        <w:snapToGrid/>
        <w:spacing w:line="576" w:lineRule="exact"/>
        <w:ind w:firstLine="4480" w:firstLineChars="1400"/>
        <w:textAlignment w:val="auto"/>
        <w:rPr>
          <w:rFonts w:hint="default"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2026年6月5日</w:t>
      </w:r>
    </w:p>
    <w:p w14:paraId="37295A7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p>
    <w:p w14:paraId="0CAD990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EF836">
    <w:pPr>
      <w:spacing w:line="357" w:lineRule="exact"/>
      <w:rPr>
        <w:rFonts w:ascii="Times New Roman" w:hAnsi="Times New Roman" w:eastAsia="Times New Roman" w:cs="Times New Roman"/>
        <w:sz w:val="27"/>
        <w:szCs w:val="27"/>
      </w:rPr>
    </w:pPr>
    <w:r>
      <w:rPr>
        <w:rFonts w:ascii="Times New Roman" w:hAnsi="Times New Roman" w:eastAsia="Times New Roman" w:cs="Times New Roman"/>
        <w:spacing w:val="9"/>
        <w:position w:val="2"/>
        <w:sz w:val="27"/>
        <w:szCs w:val="27"/>
      </w:rPr>
      <w:t>—6—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16DA2"/>
    <w:rsid w:val="12634275"/>
    <w:rsid w:val="12985320"/>
    <w:rsid w:val="15316B54"/>
    <w:rsid w:val="26FC05D7"/>
    <w:rsid w:val="2C144A47"/>
    <w:rsid w:val="33AA4DED"/>
    <w:rsid w:val="39DC01AE"/>
    <w:rsid w:val="3C5733DA"/>
    <w:rsid w:val="445B4B11"/>
    <w:rsid w:val="4B1769F9"/>
    <w:rsid w:val="4E9023FA"/>
    <w:rsid w:val="524D55CF"/>
    <w:rsid w:val="54417C6B"/>
    <w:rsid w:val="55894DF3"/>
    <w:rsid w:val="65530669"/>
    <w:rsid w:val="67235888"/>
    <w:rsid w:val="733B2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3682</Words>
  <Characters>3757</Characters>
  <Lines>0</Lines>
  <Paragraphs>0</Paragraphs>
  <TotalTime>4</TotalTime>
  <ScaleCrop>false</ScaleCrop>
  <LinksUpToDate>false</LinksUpToDate>
  <CharactersWithSpaces>3760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2026-05-20T08:01:00Z</dcterms:created>
  <dc:creator>Administrator</dc:creator>
  <cp:lastModifiedBy>春天的那尾鱼</cp:lastModifiedBy>
  <dcterms:modified xsi:type="dcterms:W3CDTF">2026-06-09T09:57:31Z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eyJoZGlkIjoiOGYxMDNlZjA5M2E3MTM0YmU1MjllNDAzYjBiZDlkNDYiLCJ1c2VySWQiOiI1NzQxOTcwMDAifQ==</vt:lpwstr>
  </property>
  <property fmtid="{D5CDD505-2E9C-101B-9397-08002B2CF9AE}" pid="4" name="ICV">
    <vt:lpwstr>ADBBA05FBFD04A6BBD8FC0E216A3B7DC_12</vt:lpwstr>
  </property>
</Properties>
</file>